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BEA" w:rsidRDefault="00905BEA" w:rsidP="00D7506D">
      <w:pPr>
        <w:spacing w:before="100" w:beforeAutospacing="1" w:after="100" w:afterAutospacing="1" w:line="240" w:lineRule="auto"/>
        <w:outlineLvl w:val="0"/>
        <w:rPr>
          <w:rFonts w:ascii="Verdana" w:eastAsia="Times New Roman" w:hAnsi="Verdana" w:cs="Times New Roman"/>
          <w:b/>
          <w:bCs/>
          <w:kern w:val="36"/>
          <w:sz w:val="6"/>
          <w:szCs w:val="20"/>
        </w:rPr>
      </w:pPr>
    </w:p>
    <w:p w:rsidR="00D7506D" w:rsidRPr="00905BEA" w:rsidRDefault="009D4BF3" w:rsidP="00D7506D">
      <w:pPr>
        <w:spacing w:before="100" w:beforeAutospacing="1" w:after="100" w:afterAutospacing="1" w:line="240" w:lineRule="auto"/>
        <w:outlineLvl w:val="0"/>
        <w:rPr>
          <w:rFonts w:ascii="Verdana" w:hAnsi="Verdana"/>
          <w:sz w:val="20"/>
          <w:szCs w:val="20"/>
        </w:rPr>
      </w:pPr>
      <w:r w:rsidRPr="00905BEA">
        <w:rPr>
          <w:rFonts w:ascii="Verdana" w:hAnsi="Verdana"/>
          <w:i/>
          <w:sz w:val="20"/>
          <w:szCs w:val="20"/>
        </w:rPr>
        <w:t xml:space="preserve"> </w:t>
      </w:r>
      <w:r w:rsidR="00D7506D" w:rsidRPr="00905BEA">
        <w:rPr>
          <w:rFonts w:ascii="Verdana" w:hAnsi="Verdana"/>
          <w:i/>
          <w:sz w:val="20"/>
          <w:szCs w:val="20"/>
        </w:rPr>
        <w:t>“Washing one’s hands of the conflict between the powerful and the powerless means to side with the powerful, not to be neutral.”</w:t>
      </w:r>
      <w:r w:rsidR="00850A3C" w:rsidRPr="00905BEA">
        <w:rPr>
          <w:rFonts w:ascii="Verdana" w:hAnsi="Verdana"/>
          <w:sz w:val="20"/>
          <w:szCs w:val="20"/>
        </w:rPr>
        <w:t>, Paulo Freire</w:t>
      </w:r>
    </w:p>
    <w:p w:rsidR="009D4BF3" w:rsidRPr="009D4BF3" w:rsidRDefault="009D4BF3" w:rsidP="009D4BF3">
      <w:pPr>
        <w:spacing w:before="100" w:beforeAutospacing="1" w:after="100" w:afterAutospacing="1" w:line="240" w:lineRule="auto"/>
        <w:outlineLvl w:val="0"/>
        <w:rPr>
          <w:rFonts w:ascii="Verdana" w:eastAsia="Times New Roman" w:hAnsi="Verdana" w:cs="Times New Roman"/>
          <w:b/>
          <w:bCs/>
          <w:kern w:val="36"/>
          <w:sz w:val="20"/>
          <w:szCs w:val="20"/>
          <w:u w:val="single"/>
        </w:rPr>
      </w:pPr>
      <w:r w:rsidRPr="009D4BF3">
        <w:rPr>
          <w:rFonts w:ascii="Verdana" w:eastAsia="Times New Roman" w:hAnsi="Verdana" w:cs="Times New Roman"/>
          <w:b/>
          <w:bCs/>
          <w:kern w:val="36"/>
          <w:sz w:val="20"/>
          <w:szCs w:val="20"/>
          <w:u w:val="single"/>
        </w:rPr>
        <w:t>Legal Requirements and Guidelines Surrounding Interpretation</w:t>
      </w:r>
    </w:p>
    <w:p w:rsidR="00850A3C" w:rsidRPr="00905BEA" w:rsidRDefault="00D7506D" w:rsidP="00D7506D">
      <w:pPr>
        <w:spacing w:before="100" w:beforeAutospacing="1" w:after="100" w:afterAutospacing="1" w:line="240" w:lineRule="auto"/>
        <w:outlineLvl w:val="0"/>
        <w:rPr>
          <w:rFonts w:ascii="Verdana" w:eastAsia="Times New Roman" w:hAnsi="Verdana" w:cs="Times New Roman"/>
          <w:b/>
          <w:bCs/>
          <w:kern w:val="36"/>
          <w:sz w:val="20"/>
          <w:szCs w:val="20"/>
        </w:rPr>
      </w:pPr>
      <w:r w:rsidRPr="00D7506D">
        <w:rPr>
          <w:rFonts w:ascii="Verdana" w:eastAsia="Times New Roman" w:hAnsi="Verdana" w:cs="Times New Roman"/>
          <w:b/>
          <w:bCs/>
          <w:kern w:val="36"/>
          <w:sz w:val="20"/>
          <w:szCs w:val="20"/>
        </w:rPr>
        <w:t>Interpreter Issues and Resources</w:t>
      </w:r>
      <w:r w:rsidR="00850A3C" w:rsidRPr="00905BEA">
        <w:rPr>
          <w:rFonts w:ascii="Verdana" w:eastAsia="Times New Roman" w:hAnsi="Verdana" w:cs="Times New Roman"/>
          <w:b/>
          <w:bCs/>
          <w:kern w:val="36"/>
          <w:sz w:val="20"/>
          <w:szCs w:val="20"/>
        </w:rPr>
        <w:t xml:space="preserve"> </w:t>
      </w:r>
      <w:r w:rsidR="00850A3C" w:rsidRPr="00905BEA">
        <w:rPr>
          <w:rFonts w:ascii="Verdana" w:eastAsia="Times New Roman" w:hAnsi="Verdana" w:cs="Times New Roman"/>
          <w:bCs/>
          <w:kern w:val="36"/>
          <w:sz w:val="20"/>
          <w:szCs w:val="20"/>
        </w:rPr>
        <w:t>(</w:t>
      </w:r>
      <w:r w:rsidR="00EA43C3" w:rsidRPr="00905BEA">
        <w:rPr>
          <w:rFonts w:ascii="Verdana" w:eastAsia="Times New Roman" w:hAnsi="Verdana" w:cs="Times New Roman"/>
          <w:bCs/>
          <w:kern w:val="36"/>
          <w:sz w:val="20"/>
          <w:szCs w:val="20"/>
        </w:rPr>
        <w:t xml:space="preserve">excerpts </w:t>
      </w:r>
      <w:r w:rsidR="00850A3C" w:rsidRPr="00905BEA">
        <w:rPr>
          <w:rFonts w:ascii="Verdana" w:eastAsia="Times New Roman" w:hAnsi="Verdana" w:cs="Times New Roman"/>
          <w:bCs/>
          <w:kern w:val="36"/>
          <w:sz w:val="20"/>
          <w:szCs w:val="20"/>
        </w:rPr>
        <w:t>from Vermont Medical S</w:t>
      </w:r>
      <w:bookmarkStart w:id="0" w:name="_GoBack"/>
      <w:bookmarkEnd w:id="0"/>
      <w:r w:rsidR="00850A3C" w:rsidRPr="00905BEA">
        <w:rPr>
          <w:rFonts w:ascii="Verdana" w:eastAsia="Times New Roman" w:hAnsi="Verdana" w:cs="Times New Roman"/>
          <w:bCs/>
          <w:kern w:val="36"/>
          <w:sz w:val="20"/>
          <w:szCs w:val="20"/>
        </w:rPr>
        <w:t>ociety’s website)</w:t>
      </w:r>
    </w:p>
    <w:p w:rsidR="00D7506D" w:rsidRPr="00D7506D" w:rsidRDefault="00850A3C" w:rsidP="00D7506D">
      <w:pPr>
        <w:spacing w:before="100" w:beforeAutospacing="1" w:after="100" w:afterAutospacing="1" w:line="240" w:lineRule="auto"/>
        <w:outlineLvl w:val="0"/>
        <w:rPr>
          <w:rFonts w:ascii="Verdana" w:eastAsia="Times New Roman" w:hAnsi="Verdana" w:cs="Times New Roman"/>
          <w:bCs/>
          <w:kern w:val="36"/>
          <w:sz w:val="20"/>
          <w:szCs w:val="20"/>
        </w:rPr>
      </w:pPr>
      <w:r w:rsidRPr="00905BEA">
        <w:rPr>
          <w:rFonts w:ascii="Verdana" w:eastAsia="Times New Roman" w:hAnsi="Verdana" w:cs="Times New Roman"/>
          <w:bCs/>
          <w:kern w:val="36"/>
          <w:sz w:val="20"/>
          <w:szCs w:val="20"/>
        </w:rPr>
        <w:t>www.vtmd.org/interpreter-issues-and-resources#lep</w:t>
      </w:r>
    </w:p>
    <w:p w:rsidR="00850A3C" w:rsidRPr="00905BEA" w:rsidRDefault="00D7506D" w:rsidP="00D7506D">
      <w:pPr>
        <w:spacing w:before="100" w:beforeAutospacing="1" w:after="100" w:afterAutospacing="1" w:line="240" w:lineRule="auto"/>
        <w:rPr>
          <w:rFonts w:ascii="Verdana" w:eastAsia="Times New Roman" w:hAnsi="Verdana" w:cs="Times New Roman"/>
          <w:sz w:val="20"/>
          <w:szCs w:val="20"/>
        </w:rPr>
      </w:pPr>
      <w:r w:rsidRPr="00D7506D">
        <w:rPr>
          <w:rFonts w:ascii="Verdana" w:eastAsia="Times New Roman" w:hAnsi="Verdana" w:cs="Times New Roman"/>
          <w:sz w:val="20"/>
          <w:szCs w:val="20"/>
        </w:rPr>
        <w:t>Vermont physician practices are required under federal and state laws to provide interpreters for patients with limited English proficiency and for those who are deaf or hard of hearing.</w:t>
      </w:r>
      <w:r w:rsidR="00850A3C" w:rsidRPr="00905BEA">
        <w:rPr>
          <w:rFonts w:ascii="Verdana" w:eastAsia="Times New Roman" w:hAnsi="Verdana" w:cs="Times New Roman"/>
          <w:sz w:val="20"/>
          <w:szCs w:val="20"/>
        </w:rPr>
        <w:t xml:space="preserve"> </w:t>
      </w:r>
      <w:r w:rsidRPr="00D7506D">
        <w:rPr>
          <w:rFonts w:ascii="Verdana" w:eastAsia="Times New Roman" w:hAnsi="Verdana" w:cs="Times New Roman"/>
          <w:sz w:val="20"/>
          <w:szCs w:val="20"/>
        </w:rPr>
        <w:t>There are very limited exceptions, discussed below.</w:t>
      </w:r>
    </w:p>
    <w:p w:rsidR="00850A3C" w:rsidRPr="00905BEA" w:rsidRDefault="00D7506D" w:rsidP="00D7506D">
      <w:pPr>
        <w:spacing w:before="100" w:beforeAutospacing="1" w:after="100" w:afterAutospacing="1" w:line="240" w:lineRule="auto"/>
        <w:rPr>
          <w:rFonts w:ascii="Verdana" w:eastAsia="Times New Roman" w:hAnsi="Verdana" w:cs="Times New Roman"/>
          <w:sz w:val="20"/>
          <w:szCs w:val="20"/>
        </w:rPr>
      </w:pPr>
      <w:r w:rsidRPr="00D7506D">
        <w:rPr>
          <w:rFonts w:ascii="Verdana" w:eastAsia="Times New Roman" w:hAnsi="Verdana" w:cs="Times New Roman"/>
          <w:sz w:val="20"/>
          <w:szCs w:val="20"/>
        </w:rPr>
        <w:t>Use of interpreters or translation services may be necessary to ensure that patients can give informed consent. There are several sources for interpreters that physicians can use, including phone-based interpreters, in-person interpreters and online translation services.</w:t>
      </w:r>
    </w:p>
    <w:p w:rsidR="00EA43C3" w:rsidRPr="00905BEA" w:rsidRDefault="00D7506D" w:rsidP="00850A3C">
      <w:pPr>
        <w:spacing w:before="100" w:beforeAutospacing="1" w:after="100" w:afterAutospacing="1" w:line="240" w:lineRule="auto"/>
        <w:rPr>
          <w:rFonts w:ascii="Verdana" w:eastAsia="Times New Roman" w:hAnsi="Verdana" w:cs="Times New Roman"/>
          <w:sz w:val="20"/>
          <w:szCs w:val="20"/>
        </w:rPr>
      </w:pPr>
      <w:r w:rsidRPr="00D7506D">
        <w:rPr>
          <w:rFonts w:ascii="Verdana" w:eastAsia="Times New Roman" w:hAnsi="Verdana" w:cs="Times New Roman"/>
          <w:sz w:val="20"/>
          <w:szCs w:val="20"/>
        </w:rPr>
        <w:t>Vermont’s Medicaid program does reimburse physicians for the cost of providing an interpreter to patients.</w:t>
      </w:r>
    </w:p>
    <w:p w:rsidR="00D7506D" w:rsidRPr="00D7506D" w:rsidRDefault="00D7506D" w:rsidP="00D7506D">
      <w:pPr>
        <w:spacing w:before="100" w:beforeAutospacing="1" w:after="100" w:afterAutospacing="1" w:line="240" w:lineRule="auto"/>
        <w:rPr>
          <w:rFonts w:ascii="Verdana" w:eastAsia="Times New Roman" w:hAnsi="Verdana" w:cs="Times New Roman"/>
          <w:sz w:val="20"/>
          <w:szCs w:val="20"/>
        </w:rPr>
      </w:pPr>
      <w:bookmarkStart w:id="1" w:name="lep"/>
      <w:bookmarkEnd w:id="1"/>
      <w:r w:rsidRPr="00905BEA">
        <w:rPr>
          <w:rFonts w:ascii="Verdana" w:eastAsia="Times New Roman" w:hAnsi="Verdana" w:cs="Times New Roman"/>
          <w:b/>
          <w:bCs/>
          <w:sz w:val="20"/>
          <w:szCs w:val="20"/>
        </w:rPr>
        <w:t>Patients with Limited English Proficiency (LEP)</w:t>
      </w:r>
      <w:r w:rsidR="00613A4B">
        <w:rPr>
          <w:rFonts w:ascii="Verdana" w:eastAsia="Times New Roman" w:hAnsi="Verdana" w:cs="Times New Roman"/>
          <w:b/>
          <w:bCs/>
          <w:sz w:val="20"/>
          <w:szCs w:val="20"/>
        </w:rPr>
        <w:br/>
      </w:r>
      <w:r w:rsidRPr="00D7506D">
        <w:rPr>
          <w:rFonts w:ascii="Verdana" w:eastAsia="Times New Roman" w:hAnsi="Verdana" w:cs="Times New Roman"/>
          <w:sz w:val="20"/>
          <w:szCs w:val="20"/>
        </w:rPr>
        <w:t>Q: What are the legal requirements for a physician practice to provide language interpretation services for patients with limited English proficiency (LEP)?</w:t>
      </w:r>
      <w:r w:rsidRPr="00D7506D">
        <w:rPr>
          <w:rFonts w:ascii="Verdana" w:eastAsia="Times New Roman" w:hAnsi="Verdana" w:cs="Times New Roman"/>
          <w:sz w:val="20"/>
          <w:szCs w:val="20"/>
        </w:rPr>
        <w:br/>
        <w:t>A:</w:t>
      </w:r>
      <w:r w:rsidRPr="00905BEA">
        <w:rPr>
          <w:rFonts w:ascii="Verdana" w:eastAsia="Times New Roman" w:hAnsi="Verdana" w:cs="Times New Roman"/>
          <w:b/>
          <w:bCs/>
          <w:i/>
          <w:iCs/>
          <w:sz w:val="20"/>
          <w:szCs w:val="20"/>
        </w:rPr>
        <w:t xml:space="preserve"> </w:t>
      </w:r>
      <w:r w:rsidRPr="00D7506D">
        <w:rPr>
          <w:rFonts w:ascii="Verdana" w:eastAsia="Times New Roman" w:hAnsi="Verdana" w:cs="Times New Roman"/>
          <w:sz w:val="20"/>
          <w:szCs w:val="20"/>
        </w:rPr>
        <w:t>The following is a summary of applicable federal and state laws.</w:t>
      </w:r>
    </w:p>
    <w:p w:rsidR="00850A3C" w:rsidRPr="00905BEA" w:rsidRDefault="00D7506D" w:rsidP="00D7506D">
      <w:pPr>
        <w:spacing w:before="100" w:beforeAutospacing="1" w:after="100" w:afterAutospacing="1" w:line="240" w:lineRule="auto"/>
        <w:rPr>
          <w:rFonts w:ascii="Verdana" w:eastAsia="Times New Roman" w:hAnsi="Verdana" w:cs="Times New Roman"/>
          <w:sz w:val="20"/>
          <w:szCs w:val="20"/>
        </w:rPr>
      </w:pPr>
      <w:r w:rsidRPr="00905BEA">
        <w:rPr>
          <w:rFonts w:ascii="Verdana" w:eastAsia="Times New Roman" w:hAnsi="Verdana" w:cs="Times New Roman"/>
          <w:bCs/>
          <w:sz w:val="20"/>
          <w:szCs w:val="20"/>
        </w:rPr>
        <w:t xml:space="preserve">Civil Rights Act/Affordable Care Act </w:t>
      </w:r>
      <w:r w:rsidRPr="00D7506D">
        <w:rPr>
          <w:rFonts w:ascii="Verdana" w:eastAsia="Times New Roman" w:hAnsi="Verdana" w:cs="Times New Roman"/>
          <w:sz w:val="20"/>
          <w:szCs w:val="20"/>
        </w:rPr>
        <w:br/>
      </w:r>
      <w:r w:rsidRPr="00905BEA">
        <w:rPr>
          <w:rFonts w:ascii="Verdana" w:eastAsia="Times New Roman" w:hAnsi="Verdana" w:cs="Times New Roman"/>
          <w:sz w:val="20"/>
          <w:szCs w:val="20"/>
        </w:rPr>
        <w:t>Title VI of the Civil Rights Act of 1964</w:t>
      </w:r>
      <w:r w:rsidRPr="00D7506D">
        <w:rPr>
          <w:rFonts w:ascii="Verdana" w:eastAsia="Times New Roman" w:hAnsi="Verdana" w:cs="Times New Roman"/>
          <w:sz w:val="20"/>
          <w:szCs w:val="20"/>
        </w:rPr>
        <w:t xml:space="preserve"> states that no person shall be subjected to discrimination on the basis of race, color or national origin under any program or activity that receives federal financial assistance.  [42 U.S.C.A. § 2000d.]</w:t>
      </w:r>
    </w:p>
    <w:p w:rsidR="00613A4B" w:rsidRDefault="00D7506D" w:rsidP="00D7506D">
      <w:pPr>
        <w:spacing w:before="100" w:beforeAutospacing="1" w:after="100" w:afterAutospacing="1" w:line="240" w:lineRule="auto"/>
        <w:rPr>
          <w:rFonts w:ascii="Verdana" w:eastAsia="Times New Roman" w:hAnsi="Verdana" w:cs="Times New Roman"/>
          <w:sz w:val="20"/>
          <w:szCs w:val="20"/>
        </w:rPr>
      </w:pPr>
      <w:r w:rsidRPr="00D7506D">
        <w:rPr>
          <w:rFonts w:ascii="Verdana" w:eastAsia="Times New Roman" w:hAnsi="Verdana" w:cs="Times New Roman"/>
          <w:sz w:val="20"/>
          <w:szCs w:val="20"/>
        </w:rPr>
        <w:t>In 2003 the Department of Health and Human Services issued “</w:t>
      </w:r>
      <w:r w:rsidRPr="00905BEA">
        <w:rPr>
          <w:rFonts w:ascii="Verdana" w:eastAsia="Times New Roman" w:hAnsi="Verdana" w:cs="Times New Roman"/>
          <w:sz w:val="20"/>
          <w:szCs w:val="20"/>
        </w:rPr>
        <w:t>Guidance to Federal Financial Assistance Recipients</w:t>
      </w:r>
      <w:r w:rsidR="00850A3C" w:rsidRPr="00905BEA">
        <w:rPr>
          <w:rFonts w:ascii="Verdana" w:eastAsia="Times New Roman" w:hAnsi="Verdana" w:cs="Times New Roman"/>
          <w:sz w:val="20"/>
          <w:szCs w:val="20"/>
        </w:rPr>
        <w:t>”</w:t>
      </w:r>
      <w:r w:rsidRPr="00D7506D">
        <w:rPr>
          <w:rFonts w:ascii="Verdana" w:eastAsia="Times New Roman" w:hAnsi="Verdana" w:cs="Times New Roman"/>
          <w:sz w:val="20"/>
          <w:szCs w:val="20"/>
        </w:rPr>
        <w:t xml:space="preserve"> Regarding Title VI Prohibition Against National Origin Discrimination Affecting Limited English Proficient Persons” to clarify the responsibilities of health care providers under Title VI. </w:t>
      </w:r>
      <w:r w:rsidRPr="00D7506D">
        <w:rPr>
          <w:rFonts w:ascii="Verdana" w:eastAsia="Times New Roman" w:hAnsi="Verdana" w:cs="Times New Roman"/>
          <w:sz w:val="20"/>
          <w:szCs w:val="20"/>
        </w:rPr>
        <w:br/>
        <w:t>  </w:t>
      </w:r>
      <w:r w:rsidRPr="00D7506D">
        <w:rPr>
          <w:rFonts w:ascii="Verdana" w:eastAsia="Times New Roman" w:hAnsi="Verdana" w:cs="Times New Roman"/>
          <w:sz w:val="20"/>
          <w:szCs w:val="20"/>
        </w:rPr>
        <w:br/>
        <w:t xml:space="preserve">Under Title VI and Section 1557, practices must ensure that they </w:t>
      </w:r>
      <w:r w:rsidRPr="00905BEA">
        <w:rPr>
          <w:rFonts w:ascii="Verdana" w:eastAsia="Times New Roman" w:hAnsi="Verdana" w:cs="Times New Roman"/>
          <w:b/>
          <w:bCs/>
          <w:sz w:val="20"/>
          <w:szCs w:val="20"/>
        </w:rPr>
        <w:t xml:space="preserve">take reasonable steps to provide meaningful access to each individual with limited English proficiency eligible to be served.  </w:t>
      </w:r>
      <w:r w:rsidRPr="00D7506D">
        <w:rPr>
          <w:rFonts w:ascii="Verdana" w:eastAsia="Times New Roman" w:hAnsi="Verdana" w:cs="Times New Roman"/>
          <w:sz w:val="20"/>
          <w:szCs w:val="20"/>
        </w:rPr>
        <w:br/>
        <w:t> </w:t>
      </w:r>
      <w:r w:rsidRPr="00D7506D">
        <w:rPr>
          <w:rFonts w:ascii="Verdana" w:eastAsia="Times New Roman" w:hAnsi="Verdana" w:cs="Times New Roman"/>
          <w:sz w:val="20"/>
          <w:szCs w:val="20"/>
        </w:rPr>
        <w:br/>
        <w:t>There is no one-size-fits all solution for the type of interpretation (verbal) or translation (written) services that must be provided by the practice and HHS acknowledges that the services provided by a large facility may not be appropriate for a small practice. For verbal interpretation, practices can consider options including hiring bilingual staff, using in-person interpreters or contracting with phone or video interpretation services. Written translation can range from translation of an entire document to translation of a short description of the document to an oral translation by an interpreter. Practices should conduct a review to determine if specific “vital” documents or portions of documents should be translated into the language of any frequently-encountered LEP groups.</w:t>
      </w:r>
    </w:p>
    <w:p w:rsidR="00EA43C3" w:rsidRPr="00905BEA" w:rsidRDefault="00613A4B" w:rsidP="00D7506D">
      <w:pPr>
        <w:spacing w:before="100" w:beforeAutospacing="1" w:after="100" w:afterAutospacing="1" w:line="240" w:lineRule="auto"/>
        <w:rPr>
          <w:rFonts w:ascii="Verdana" w:eastAsia="Times New Roman" w:hAnsi="Verdana" w:cs="Times New Roman"/>
          <w:sz w:val="20"/>
          <w:szCs w:val="20"/>
        </w:rPr>
      </w:pPr>
      <w:r>
        <w:rPr>
          <w:rFonts w:ascii="Verdana" w:eastAsia="Times New Roman" w:hAnsi="Verdana" w:cs="Times New Roman"/>
          <w:sz w:val="20"/>
          <w:szCs w:val="20"/>
        </w:rPr>
        <w:lastRenderedPageBreak/>
        <w:br/>
      </w:r>
      <w:r w:rsidR="00D7506D" w:rsidRPr="00D7506D">
        <w:rPr>
          <w:rFonts w:ascii="Verdana" w:eastAsia="Times New Roman" w:hAnsi="Verdana" w:cs="Times New Roman"/>
          <w:sz w:val="20"/>
          <w:szCs w:val="20"/>
        </w:rPr>
        <w:t xml:space="preserve">Language access services must be provided </w:t>
      </w:r>
      <w:r w:rsidR="00D7506D" w:rsidRPr="00905BEA">
        <w:rPr>
          <w:rFonts w:ascii="Verdana" w:eastAsia="Times New Roman" w:hAnsi="Verdana" w:cs="Times New Roman"/>
          <w:b/>
          <w:bCs/>
          <w:sz w:val="20"/>
          <w:szCs w:val="20"/>
        </w:rPr>
        <w:t>free</w:t>
      </w:r>
      <w:r w:rsidR="00D7506D" w:rsidRPr="00D7506D">
        <w:rPr>
          <w:rFonts w:ascii="Verdana" w:eastAsia="Times New Roman" w:hAnsi="Verdana" w:cs="Times New Roman"/>
          <w:sz w:val="20"/>
          <w:szCs w:val="20"/>
        </w:rPr>
        <w:t xml:space="preserve"> of charge, be </w:t>
      </w:r>
      <w:r w:rsidR="00D7506D" w:rsidRPr="00905BEA">
        <w:rPr>
          <w:rFonts w:ascii="Verdana" w:eastAsia="Times New Roman" w:hAnsi="Verdana" w:cs="Times New Roman"/>
          <w:b/>
          <w:bCs/>
          <w:sz w:val="20"/>
          <w:szCs w:val="20"/>
        </w:rPr>
        <w:t>accurate</w:t>
      </w:r>
      <w:r w:rsidR="00D7506D" w:rsidRPr="00D7506D">
        <w:rPr>
          <w:rFonts w:ascii="Verdana" w:eastAsia="Times New Roman" w:hAnsi="Verdana" w:cs="Times New Roman"/>
          <w:sz w:val="20"/>
          <w:szCs w:val="20"/>
        </w:rPr>
        <w:t xml:space="preserve"> and </w:t>
      </w:r>
      <w:r w:rsidR="00D7506D" w:rsidRPr="00905BEA">
        <w:rPr>
          <w:rFonts w:ascii="Verdana" w:eastAsia="Times New Roman" w:hAnsi="Verdana" w:cs="Times New Roman"/>
          <w:b/>
          <w:bCs/>
          <w:sz w:val="20"/>
          <w:szCs w:val="20"/>
        </w:rPr>
        <w:t>timely</w:t>
      </w:r>
      <w:r w:rsidR="00D7506D" w:rsidRPr="00D7506D">
        <w:rPr>
          <w:rFonts w:ascii="Verdana" w:eastAsia="Times New Roman" w:hAnsi="Verdana" w:cs="Times New Roman"/>
          <w:sz w:val="20"/>
          <w:szCs w:val="20"/>
        </w:rPr>
        <w:t xml:space="preserve">, and </w:t>
      </w:r>
      <w:r w:rsidR="00D7506D" w:rsidRPr="00905BEA">
        <w:rPr>
          <w:rFonts w:ascii="Verdana" w:eastAsia="Times New Roman" w:hAnsi="Verdana" w:cs="Times New Roman"/>
          <w:b/>
          <w:bCs/>
          <w:sz w:val="20"/>
          <w:szCs w:val="20"/>
        </w:rPr>
        <w:t>protect the privacy and independence</w:t>
      </w:r>
      <w:r w:rsidR="00D7506D" w:rsidRPr="00D7506D">
        <w:rPr>
          <w:rFonts w:ascii="Verdana" w:eastAsia="Times New Roman" w:hAnsi="Verdana" w:cs="Times New Roman"/>
          <w:sz w:val="20"/>
          <w:szCs w:val="20"/>
        </w:rPr>
        <w:t xml:space="preserve"> of the patient; a patient cannot be required to provide his or her own interpreter.</w:t>
      </w:r>
      <w:r w:rsidR="00D7506D" w:rsidRPr="00D7506D">
        <w:rPr>
          <w:rFonts w:ascii="Verdana" w:eastAsia="Times New Roman" w:hAnsi="Verdana" w:cs="Times New Roman"/>
          <w:sz w:val="20"/>
          <w:szCs w:val="20"/>
        </w:rPr>
        <w:br/>
        <w:t> </w:t>
      </w:r>
      <w:r w:rsidR="00D7506D" w:rsidRPr="00D7506D">
        <w:rPr>
          <w:rFonts w:ascii="Verdana" w:eastAsia="Times New Roman" w:hAnsi="Verdana" w:cs="Times New Roman"/>
          <w:sz w:val="20"/>
          <w:szCs w:val="20"/>
        </w:rPr>
        <w:br/>
      </w:r>
      <w:r w:rsidR="00D7506D" w:rsidRPr="00905BEA">
        <w:rPr>
          <w:rFonts w:ascii="Verdana" w:eastAsia="Times New Roman" w:hAnsi="Verdana" w:cs="Times New Roman"/>
          <w:b/>
          <w:bCs/>
          <w:sz w:val="20"/>
          <w:szCs w:val="20"/>
        </w:rPr>
        <w:t>Interpreters and translators must also be qualified</w:t>
      </w:r>
      <w:r w:rsidR="00D7506D" w:rsidRPr="00D7506D">
        <w:rPr>
          <w:rFonts w:ascii="Verdana" w:eastAsia="Times New Roman" w:hAnsi="Verdana" w:cs="Times New Roman"/>
          <w:sz w:val="20"/>
          <w:szCs w:val="20"/>
        </w:rPr>
        <w:t>.</w:t>
      </w:r>
      <w:r w:rsidR="00EA43C3" w:rsidRPr="00905BEA">
        <w:rPr>
          <w:rFonts w:ascii="Verdana" w:eastAsia="Times New Roman" w:hAnsi="Verdana" w:cs="Times New Roman"/>
          <w:sz w:val="20"/>
          <w:szCs w:val="20"/>
        </w:rPr>
        <w:t xml:space="preserve"> </w:t>
      </w:r>
      <w:r w:rsidR="00D7506D" w:rsidRPr="00D7506D">
        <w:rPr>
          <w:rFonts w:ascii="Verdana" w:eastAsia="Times New Roman" w:hAnsi="Verdana" w:cs="Times New Roman"/>
          <w:sz w:val="20"/>
          <w:szCs w:val="20"/>
        </w:rPr>
        <w:t>Bilingual staff, interpreters and translators must all adhere to ethical principles, including confidentiality, demonstrate proficiency in the appropriate languages and be effective, accurate and impartial.</w:t>
      </w:r>
    </w:p>
    <w:p w:rsidR="00EA43C3" w:rsidRPr="00905BEA" w:rsidRDefault="00D7506D" w:rsidP="00D7506D">
      <w:pPr>
        <w:spacing w:before="100" w:beforeAutospacing="1" w:after="100" w:afterAutospacing="1" w:line="240" w:lineRule="auto"/>
        <w:rPr>
          <w:rFonts w:ascii="Verdana" w:eastAsia="Times New Roman" w:hAnsi="Verdana" w:cs="Times New Roman"/>
          <w:sz w:val="20"/>
          <w:szCs w:val="20"/>
        </w:rPr>
      </w:pPr>
      <w:r w:rsidRPr="00905BEA">
        <w:rPr>
          <w:rFonts w:ascii="Verdana" w:eastAsia="Times New Roman" w:hAnsi="Verdana" w:cs="Times New Roman"/>
          <w:b/>
          <w:bCs/>
          <w:sz w:val="20"/>
          <w:szCs w:val="20"/>
        </w:rPr>
        <w:t>Adult family</w:t>
      </w:r>
      <w:r w:rsidRPr="00D7506D">
        <w:rPr>
          <w:rFonts w:ascii="Verdana" w:eastAsia="Times New Roman" w:hAnsi="Verdana" w:cs="Times New Roman"/>
          <w:sz w:val="20"/>
          <w:szCs w:val="20"/>
        </w:rPr>
        <w:t xml:space="preserve"> can </w:t>
      </w:r>
      <w:r w:rsidRPr="00905BEA">
        <w:rPr>
          <w:rFonts w:ascii="Verdana" w:eastAsia="Times New Roman" w:hAnsi="Verdana" w:cs="Times New Roman"/>
          <w:b/>
          <w:bCs/>
          <w:sz w:val="20"/>
          <w:szCs w:val="20"/>
        </w:rPr>
        <w:t>only</w:t>
      </w:r>
      <w:r w:rsidRPr="00D7506D">
        <w:rPr>
          <w:rFonts w:ascii="Verdana" w:eastAsia="Times New Roman" w:hAnsi="Verdana" w:cs="Times New Roman"/>
          <w:sz w:val="20"/>
          <w:szCs w:val="20"/>
        </w:rPr>
        <w:t xml:space="preserve"> be used in </w:t>
      </w:r>
      <w:r w:rsidRPr="00905BEA">
        <w:rPr>
          <w:rFonts w:ascii="Verdana" w:eastAsia="Times New Roman" w:hAnsi="Verdana" w:cs="Times New Roman"/>
          <w:b/>
          <w:bCs/>
          <w:sz w:val="20"/>
          <w:szCs w:val="20"/>
        </w:rPr>
        <w:t>emergencies</w:t>
      </w:r>
      <w:r w:rsidRPr="00D7506D">
        <w:rPr>
          <w:rFonts w:ascii="Verdana" w:eastAsia="Times New Roman" w:hAnsi="Verdana" w:cs="Times New Roman"/>
          <w:sz w:val="20"/>
          <w:szCs w:val="20"/>
        </w:rPr>
        <w:t xml:space="preserve"> involving an imminent threat to health or safety and when no other interpreter is available OR if the patients specifically requests the family member and it is appropriate under the circumstances. In many circumstances</w:t>
      </w:r>
      <w:r w:rsidR="00905BEA">
        <w:rPr>
          <w:rFonts w:ascii="Verdana" w:eastAsia="Times New Roman" w:hAnsi="Verdana" w:cs="Times New Roman"/>
          <w:sz w:val="20"/>
          <w:szCs w:val="20"/>
        </w:rPr>
        <w:t>,</w:t>
      </w:r>
      <w:r w:rsidRPr="00D7506D">
        <w:rPr>
          <w:rFonts w:ascii="Verdana" w:eastAsia="Times New Roman" w:hAnsi="Verdana" w:cs="Times New Roman"/>
          <w:sz w:val="20"/>
          <w:szCs w:val="20"/>
        </w:rPr>
        <w:t xml:space="preserve"> family members are NOT competent to provide quality, accurate interpretation. </w:t>
      </w:r>
      <w:r w:rsidRPr="00905BEA">
        <w:rPr>
          <w:rFonts w:ascii="Verdana" w:eastAsia="Times New Roman" w:hAnsi="Verdana" w:cs="Times New Roman"/>
          <w:b/>
          <w:bCs/>
          <w:sz w:val="20"/>
          <w:szCs w:val="20"/>
        </w:rPr>
        <w:t>Minor children</w:t>
      </w:r>
      <w:r w:rsidRPr="00D7506D">
        <w:rPr>
          <w:rFonts w:ascii="Verdana" w:eastAsia="Times New Roman" w:hAnsi="Verdana" w:cs="Times New Roman"/>
          <w:sz w:val="20"/>
          <w:szCs w:val="20"/>
        </w:rPr>
        <w:t xml:space="preserve"> can only be relied on if there is an imminent threat to safety or health.  </w:t>
      </w:r>
      <w:r w:rsidRPr="00905BEA">
        <w:rPr>
          <w:rFonts w:ascii="Verdana" w:eastAsia="Times New Roman" w:hAnsi="Verdana" w:cs="Times New Roman"/>
          <w:b/>
          <w:bCs/>
          <w:sz w:val="20"/>
          <w:szCs w:val="20"/>
        </w:rPr>
        <w:t xml:space="preserve">Interpretation over video </w:t>
      </w:r>
      <w:r w:rsidRPr="00D7506D">
        <w:rPr>
          <w:rFonts w:ascii="Verdana" w:eastAsia="Times New Roman" w:hAnsi="Verdana" w:cs="Times New Roman"/>
          <w:sz w:val="20"/>
          <w:szCs w:val="20"/>
        </w:rPr>
        <w:t>must be capable of providing high quality images.</w:t>
      </w:r>
    </w:p>
    <w:p w:rsidR="00EA43C3" w:rsidRPr="00905BEA" w:rsidRDefault="00D7506D" w:rsidP="00D7506D">
      <w:pPr>
        <w:spacing w:before="100" w:beforeAutospacing="1" w:after="100" w:afterAutospacing="1" w:line="240" w:lineRule="auto"/>
        <w:rPr>
          <w:rFonts w:ascii="Verdana" w:eastAsia="Times New Roman" w:hAnsi="Verdana" w:cs="Times New Roman"/>
          <w:sz w:val="20"/>
          <w:szCs w:val="20"/>
        </w:rPr>
      </w:pPr>
      <w:r w:rsidRPr="00D7506D">
        <w:rPr>
          <w:rFonts w:ascii="Verdana" w:eastAsia="Times New Roman" w:hAnsi="Verdana" w:cs="Times New Roman"/>
          <w:sz w:val="20"/>
          <w:szCs w:val="20"/>
        </w:rPr>
        <w:t xml:space="preserve">Under Section 1557, practices also have procedural requirements regarding non-discrimination. Beginning October 16, 2016 practices need to post a </w:t>
      </w:r>
      <w:r w:rsidRPr="00D7506D">
        <w:rPr>
          <w:rFonts w:ascii="Verdana" w:eastAsia="Times New Roman" w:hAnsi="Verdana" w:cs="Times New Roman"/>
          <w:sz w:val="20"/>
          <w:szCs w:val="20"/>
          <w:u w:val="single"/>
        </w:rPr>
        <w:t>notice of non-discrimination in English</w:t>
      </w:r>
      <w:r w:rsidRPr="00D7506D">
        <w:rPr>
          <w:rFonts w:ascii="Verdana" w:eastAsia="Times New Roman" w:hAnsi="Verdana" w:cs="Times New Roman"/>
          <w:sz w:val="20"/>
          <w:szCs w:val="20"/>
        </w:rPr>
        <w:t xml:space="preserve"> and shorter “</w:t>
      </w:r>
      <w:r w:rsidRPr="00D7506D">
        <w:rPr>
          <w:rFonts w:ascii="Verdana" w:eastAsia="Times New Roman" w:hAnsi="Verdana" w:cs="Times New Roman"/>
          <w:sz w:val="20"/>
          <w:szCs w:val="20"/>
          <w:u w:val="single"/>
        </w:rPr>
        <w:t>taglines”</w:t>
      </w:r>
      <w:r w:rsidRPr="00D7506D">
        <w:rPr>
          <w:rFonts w:ascii="Verdana" w:eastAsia="Times New Roman" w:hAnsi="Verdana" w:cs="Times New Roman"/>
          <w:sz w:val="20"/>
          <w:szCs w:val="20"/>
        </w:rPr>
        <w:t xml:space="preserve"> in non-English languages regarding the availability of language assistance services (1) in their practice, (2) on the practice website and (3) in any significant publications or communications. Practices </w:t>
      </w:r>
      <w:r w:rsidRPr="00D7506D">
        <w:rPr>
          <w:rFonts w:ascii="Verdana" w:eastAsia="Times New Roman" w:hAnsi="Verdana" w:cs="Times New Roman"/>
          <w:sz w:val="20"/>
          <w:szCs w:val="20"/>
          <w:u w:val="single"/>
        </w:rPr>
        <w:t>employing 15 or more individuals</w:t>
      </w:r>
      <w:r w:rsidRPr="00D7506D">
        <w:rPr>
          <w:rFonts w:ascii="Verdana" w:eastAsia="Times New Roman" w:hAnsi="Verdana" w:cs="Times New Roman"/>
          <w:sz w:val="20"/>
          <w:szCs w:val="20"/>
        </w:rPr>
        <w:t xml:space="preserve"> also need to create a grievance procedure and name a compliance coordinator for Section 1557’s requirements, effective July 2016.</w:t>
      </w:r>
    </w:p>
    <w:p w:rsidR="00EA43C3" w:rsidRPr="00905BEA" w:rsidRDefault="00D7506D" w:rsidP="00EA43C3">
      <w:pPr>
        <w:spacing w:before="100" w:beforeAutospacing="1" w:after="100" w:afterAutospacing="1" w:line="240" w:lineRule="auto"/>
        <w:rPr>
          <w:rFonts w:ascii="Verdana" w:eastAsia="Times New Roman" w:hAnsi="Verdana" w:cs="Times New Roman"/>
          <w:sz w:val="20"/>
          <w:szCs w:val="20"/>
        </w:rPr>
      </w:pPr>
      <w:r w:rsidRPr="00905BEA">
        <w:rPr>
          <w:rFonts w:ascii="Verdana" w:eastAsia="Times New Roman" w:hAnsi="Verdana" w:cs="Times New Roman"/>
          <w:b/>
          <w:bCs/>
          <w:sz w:val="20"/>
          <w:szCs w:val="20"/>
        </w:rPr>
        <w:t>Vermont Patients’ Bill of Rights (18 VSA § 1852)</w:t>
      </w:r>
      <w:r w:rsidR="00613A4B">
        <w:rPr>
          <w:rFonts w:ascii="Verdana" w:eastAsia="Times New Roman" w:hAnsi="Verdana" w:cs="Times New Roman"/>
          <w:b/>
          <w:bCs/>
          <w:sz w:val="20"/>
          <w:szCs w:val="20"/>
        </w:rPr>
        <w:br/>
      </w:r>
      <w:r w:rsidRPr="00D7506D">
        <w:rPr>
          <w:rFonts w:ascii="Verdana" w:eastAsia="Times New Roman" w:hAnsi="Verdana" w:cs="Times New Roman"/>
          <w:sz w:val="20"/>
          <w:szCs w:val="20"/>
        </w:rPr>
        <w:t>In a hospital inpatient setting, “a patient who does not speak or understand English has a right to an interpreter if the language barrier presents a continuing problem to patient understanding of care and treatment.” Failure to comply with any provision of the Patients’ Bill of Rights may constitute a basis for disciplinary action against a physician by the Board of Medicine.</w:t>
      </w:r>
    </w:p>
    <w:p w:rsidR="00EA43C3" w:rsidRPr="00905BEA" w:rsidRDefault="00EA43C3" w:rsidP="00613A4B">
      <w:pPr>
        <w:spacing w:before="100" w:beforeAutospacing="1" w:after="100" w:afterAutospacing="1" w:line="240" w:lineRule="auto"/>
        <w:rPr>
          <w:rFonts w:ascii="Verdana" w:hAnsi="Verdana"/>
          <w:sz w:val="20"/>
          <w:szCs w:val="20"/>
        </w:rPr>
      </w:pPr>
      <w:r w:rsidRPr="00905BEA">
        <w:rPr>
          <w:rFonts w:ascii="Verdana" w:hAnsi="Verdana"/>
          <w:b/>
          <w:sz w:val="20"/>
          <w:szCs w:val="20"/>
        </w:rPr>
        <w:t>The Need for Interpretation Services</w:t>
      </w:r>
      <w:r w:rsidR="00613A4B">
        <w:rPr>
          <w:rFonts w:ascii="Verdana" w:hAnsi="Verdana"/>
          <w:b/>
          <w:sz w:val="20"/>
          <w:szCs w:val="20"/>
        </w:rPr>
        <w:br/>
      </w:r>
      <w:r w:rsidRPr="00905BEA">
        <w:rPr>
          <w:rFonts w:ascii="Verdana" w:hAnsi="Verdana"/>
          <w:sz w:val="20"/>
          <w:szCs w:val="20"/>
        </w:rPr>
        <w:t>Q: Is there a need for language interpretation services in the Vermont population?  </w:t>
      </w:r>
      <w:r w:rsidRPr="00905BEA">
        <w:rPr>
          <w:rFonts w:ascii="Verdana" w:hAnsi="Verdana"/>
          <w:sz w:val="20"/>
          <w:szCs w:val="20"/>
        </w:rPr>
        <w:br/>
        <w:t xml:space="preserve">A: According to US Census data released in October 2015, Vermont had roughly 31,000 people over the age of 5 listed as speaking a language other than English and close to 9,000 who spoke English “less than very well.”  The top 15 language spoken “less than very well” are: French (1,806 speakers), Spanish (1,473), Vietnamese (752), Chinese/Mandarin (650), Nepali (570), </w:t>
      </w:r>
      <w:proofErr w:type="spellStart"/>
      <w:r w:rsidRPr="00905BEA">
        <w:rPr>
          <w:rFonts w:ascii="Verdana" w:hAnsi="Verdana"/>
          <w:sz w:val="20"/>
          <w:szCs w:val="20"/>
        </w:rPr>
        <w:t>Serbocroatian</w:t>
      </w:r>
      <w:proofErr w:type="spellEnd"/>
      <w:r w:rsidRPr="00905BEA">
        <w:rPr>
          <w:rFonts w:ascii="Verdana" w:hAnsi="Verdana"/>
          <w:sz w:val="20"/>
          <w:szCs w:val="20"/>
        </w:rPr>
        <w:t xml:space="preserve"> (Serbian language) (455), German (305), Cushite (Oromo language - African) (275), Arabic (168), Russian (168), Tagalog (131), Italian (124), Thai (123), Japanese (121) and Portuguese (120).  They are followed by Korean (114), Serbian (110) and Russian (103).</w:t>
      </w:r>
    </w:p>
    <w:p w:rsidR="00905BEA" w:rsidRDefault="00EA43C3" w:rsidP="00905BEA">
      <w:pPr>
        <w:pStyle w:val="NormalWeb"/>
        <w:rPr>
          <w:rFonts w:ascii="Verdana" w:hAnsi="Verdana"/>
          <w:sz w:val="20"/>
          <w:szCs w:val="20"/>
        </w:rPr>
      </w:pPr>
      <w:r w:rsidRPr="00905BEA">
        <w:rPr>
          <w:rFonts w:ascii="Verdana" w:hAnsi="Verdana"/>
          <w:sz w:val="20"/>
          <w:szCs w:val="20"/>
        </w:rPr>
        <w:t>Q: Is there a need for interpretation services for patients who are deaf or hard of hearing in Vermont?</w:t>
      </w:r>
      <w:r w:rsidR="00613A4B">
        <w:rPr>
          <w:rFonts w:ascii="Verdana" w:hAnsi="Verdana"/>
          <w:sz w:val="20"/>
          <w:szCs w:val="20"/>
        </w:rPr>
        <w:br/>
      </w:r>
      <w:r w:rsidRPr="00905BEA">
        <w:rPr>
          <w:rFonts w:ascii="Verdana" w:hAnsi="Verdana"/>
          <w:sz w:val="20"/>
          <w:szCs w:val="20"/>
        </w:rPr>
        <w:t xml:space="preserve">A: According to the 2014 American Community Survey, conducted by the US Census Bureau, of the approximately 620,000 people living in Vermont, 181 under the age of 5, 10,000 between </w:t>
      </w:r>
      <w:bookmarkStart w:id="2" w:name="interpreter"/>
      <w:bookmarkEnd w:id="2"/>
      <w:r w:rsidRPr="00905BEA">
        <w:rPr>
          <w:rFonts w:ascii="Verdana" w:hAnsi="Verdana"/>
          <w:sz w:val="20"/>
          <w:szCs w:val="20"/>
        </w:rPr>
        <w:t>18-64 and 15,000 over the age of 65 have a hearing difficulty.</w:t>
      </w:r>
    </w:p>
    <w:p w:rsidR="00EA43C3" w:rsidRPr="00905BEA" w:rsidRDefault="00905BEA" w:rsidP="00905BEA">
      <w:pPr>
        <w:pStyle w:val="NormalWeb"/>
        <w:rPr>
          <w:rFonts w:ascii="Verdana" w:hAnsi="Verdana"/>
          <w:sz w:val="20"/>
          <w:szCs w:val="20"/>
        </w:rPr>
      </w:pPr>
      <w:r w:rsidRPr="00905BEA">
        <w:rPr>
          <w:rFonts w:ascii="Verdana" w:hAnsi="Verdana"/>
          <w:sz w:val="20"/>
          <w:szCs w:val="20"/>
        </w:rPr>
        <w:t xml:space="preserve">For more information: </w:t>
      </w:r>
      <w:hyperlink r:id="rId6" w:history="1">
        <w:r w:rsidRPr="00905BEA">
          <w:rPr>
            <w:rStyle w:val="Hyperlink"/>
            <w:rFonts w:ascii="Verdana" w:hAnsi="Verdana"/>
            <w:sz w:val="20"/>
            <w:szCs w:val="20"/>
          </w:rPr>
          <w:t>www.lep.gov</w:t>
        </w:r>
      </w:hyperlink>
      <w:r w:rsidRPr="00905BEA">
        <w:rPr>
          <w:rFonts w:ascii="Verdana" w:hAnsi="Verdana"/>
          <w:sz w:val="20"/>
          <w:szCs w:val="20"/>
        </w:rPr>
        <w:t xml:space="preserve"> </w:t>
      </w:r>
    </w:p>
    <w:sectPr w:rsidR="00EA43C3" w:rsidRPr="00905BEA" w:rsidSect="00905BEA">
      <w:headerReference w:type="default" r:id="rId7"/>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BEA" w:rsidRDefault="00905BEA" w:rsidP="00905BEA">
      <w:pPr>
        <w:spacing w:after="0" w:line="240" w:lineRule="auto"/>
      </w:pPr>
      <w:r>
        <w:separator/>
      </w:r>
    </w:p>
  </w:endnote>
  <w:endnote w:type="continuationSeparator" w:id="0">
    <w:p w:rsidR="00905BEA" w:rsidRDefault="00905BEA" w:rsidP="00905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BEA" w:rsidRDefault="00905BEA" w:rsidP="00905BEA">
      <w:pPr>
        <w:spacing w:after="0" w:line="240" w:lineRule="auto"/>
      </w:pPr>
      <w:r>
        <w:separator/>
      </w:r>
    </w:p>
  </w:footnote>
  <w:footnote w:type="continuationSeparator" w:id="0">
    <w:p w:rsidR="00905BEA" w:rsidRDefault="00905BEA" w:rsidP="00905B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BEA" w:rsidRDefault="00905BEA">
    <w:pPr>
      <w:pStyle w:val="Header"/>
    </w:pPr>
    <w:r>
      <w:rPr>
        <w:noProof/>
      </w:rPr>
      <w:drawing>
        <wp:inline distT="0" distB="0" distL="0" distR="0">
          <wp:extent cx="1397479" cy="734929"/>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DC Logo%402x.png"/>
                  <pic:cNvPicPr/>
                </pic:nvPicPr>
                <pic:blipFill>
                  <a:blip r:embed="rId1">
                    <a:extLst>
                      <a:ext uri="{28A0092B-C50C-407E-A947-70E740481C1C}">
                        <a14:useLocalDpi xmlns:a14="http://schemas.microsoft.com/office/drawing/2010/main" val="0"/>
                      </a:ext>
                    </a:extLst>
                  </a:blip>
                  <a:stretch>
                    <a:fillRect/>
                  </a:stretch>
                </pic:blipFill>
                <pic:spPr>
                  <a:xfrm>
                    <a:off x="0" y="0"/>
                    <a:ext cx="1411551" cy="74232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06D"/>
    <w:rsid w:val="00613A4B"/>
    <w:rsid w:val="00850A3C"/>
    <w:rsid w:val="00905BEA"/>
    <w:rsid w:val="00953F0A"/>
    <w:rsid w:val="009D4BF3"/>
    <w:rsid w:val="00D7506D"/>
    <w:rsid w:val="00EA4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C56788"/>
  <w15:chartTrackingRefBased/>
  <w15:docId w15:val="{FD4E2E4A-BEF9-4699-800D-F6CCEF272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750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7506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06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7506D"/>
    <w:rPr>
      <w:rFonts w:ascii="Times New Roman" w:eastAsia="Times New Roman" w:hAnsi="Times New Roman" w:cs="Times New Roman"/>
      <w:b/>
      <w:bCs/>
      <w:sz w:val="27"/>
      <w:szCs w:val="27"/>
    </w:rPr>
  </w:style>
  <w:style w:type="paragraph" w:styleId="NormalWeb">
    <w:name w:val="Normal (Web)"/>
    <w:basedOn w:val="Normal"/>
    <w:uiPriority w:val="99"/>
    <w:unhideWhenUsed/>
    <w:rsid w:val="00D750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7506D"/>
    <w:rPr>
      <w:color w:val="0000FF"/>
      <w:u w:val="single"/>
    </w:rPr>
  </w:style>
  <w:style w:type="character" w:styleId="Strong">
    <w:name w:val="Strong"/>
    <w:basedOn w:val="DefaultParagraphFont"/>
    <w:uiPriority w:val="22"/>
    <w:qFormat/>
    <w:rsid w:val="00D7506D"/>
    <w:rPr>
      <w:b/>
      <w:bCs/>
    </w:rPr>
  </w:style>
  <w:style w:type="character" w:styleId="UnresolvedMention">
    <w:name w:val="Unresolved Mention"/>
    <w:basedOn w:val="DefaultParagraphFont"/>
    <w:uiPriority w:val="99"/>
    <w:semiHidden/>
    <w:unhideWhenUsed/>
    <w:rsid w:val="00905BEA"/>
    <w:rPr>
      <w:color w:val="605E5C"/>
      <w:shd w:val="clear" w:color="auto" w:fill="E1DFDD"/>
    </w:rPr>
  </w:style>
  <w:style w:type="paragraph" w:styleId="Header">
    <w:name w:val="header"/>
    <w:basedOn w:val="Normal"/>
    <w:link w:val="HeaderChar"/>
    <w:uiPriority w:val="99"/>
    <w:unhideWhenUsed/>
    <w:rsid w:val="00905B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BEA"/>
  </w:style>
  <w:style w:type="paragraph" w:styleId="Footer">
    <w:name w:val="footer"/>
    <w:basedOn w:val="Normal"/>
    <w:link w:val="FooterChar"/>
    <w:uiPriority w:val="99"/>
    <w:unhideWhenUsed/>
    <w:rsid w:val="00905B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228148">
      <w:bodyDiv w:val="1"/>
      <w:marLeft w:val="0"/>
      <w:marRight w:val="0"/>
      <w:marTop w:val="0"/>
      <w:marBottom w:val="0"/>
      <w:divBdr>
        <w:top w:val="none" w:sz="0" w:space="0" w:color="auto"/>
        <w:left w:val="none" w:sz="0" w:space="0" w:color="auto"/>
        <w:bottom w:val="none" w:sz="0" w:space="0" w:color="auto"/>
        <w:right w:val="none" w:sz="0" w:space="0" w:color="auto"/>
      </w:divBdr>
      <w:divsChild>
        <w:div w:id="816072099">
          <w:marLeft w:val="0"/>
          <w:marRight w:val="0"/>
          <w:marTop w:val="0"/>
          <w:marBottom w:val="0"/>
          <w:divBdr>
            <w:top w:val="none" w:sz="0" w:space="0" w:color="auto"/>
            <w:left w:val="none" w:sz="0" w:space="0" w:color="auto"/>
            <w:bottom w:val="none" w:sz="0" w:space="0" w:color="auto"/>
            <w:right w:val="none" w:sz="0" w:space="0" w:color="auto"/>
          </w:divBdr>
          <w:divsChild>
            <w:div w:id="1136295135">
              <w:marLeft w:val="0"/>
              <w:marRight w:val="0"/>
              <w:marTop w:val="0"/>
              <w:marBottom w:val="0"/>
              <w:divBdr>
                <w:top w:val="none" w:sz="0" w:space="0" w:color="auto"/>
                <w:left w:val="none" w:sz="0" w:space="0" w:color="auto"/>
                <w:bottom w:val="none" w:sz="0" w:space="0" w:color="auto"/>
                <w:right w:val="none" w:sz="0" w:space="0" w:color="auto"/>
              </w:divBdr>
              <w:divsChild>
                <w:div w:id="290014485">
                  <w:marLeft w:val="0"/>
                  <w:marRight w:val="0"/>
                  <w:marTop w:val="0"/>
                  <w:marBottom w:val="0"/>
                  <w:divBdr>
                    <w:top w:val="none" w:sz="0" w:space="0" w:color="auto"/>
                    <w:left w:val="none" w:sz="0" w:space="0" w:color="auto"/>
                    <w:bottom w:val="none" w:sz="0" w:space="0" w:color="auto"/>
                    <w:right w:val="none" w:sz="0" w:space="0" w:color="auto"/>
                  </w:divBdr>
                  <w:divsChild>
                    <w:div w:id="152184134">
                      <w:marLeft w:val="0"/>
                      <w:marRight w:val="0"/>
                      <w:marTop w:val="0"/>
                      <w:marBottom w:val="0"/>
                      <w:divBdr>
                        <w:top w:val="none" w:sz="0" w:space="0" w:color="auto"/>
                        <w:left w:val="none" w:sz="0" w:space="0" w:color="auto"/>
                        <w:bottom w:val="none" w:sz="0" w:space="0" w:color="auto"/>
                        <w:right w:val="none" w:sz="0" w:space="0" w:color="auto"/>
                      </w:divBdr>
                      <w:divsChild>
                        <w:div w:id="620376805">
                          <w:marLeft w:val="0"/>
                          <w:marRight w:val="0"/>
                          <w:marTop w:val="0"/>
                          <w:marBottom w:val="0"/>
                          <w:divBdr>
                            <w:top w:val="none" w:sz="0" w:space="0" w:color="auto"/>
                            <w:left w:val="none" w:sz="0" w:space="0" w:color="auto"/>
                            <w:bottom w:val="none" w:sz="0" w:space="0" w:color="auto"/>
                            <w:right w:val="none" w:sz="0" w:space="0" w:color="auto"/>
                          </w:divBdr>
                          <w:divsChild>
                            <w:div w:id="166557231">
                              <w:marLeft w:val="0"/>
                              <w:marRight w:val="0"/>
                              <w:marTop w:val="0"/>
                              <w:marBottom w:val="0"/>
                              <w:divBdr>
                                <w:top w:val="none" w:sz="0" w:space="0" w:color="auto"/>
                                <w:left w:val="none" w:sz="0" w:space="0" w:color="auto"/>
                                <w:bottom w:val="none" w:sz="0" w:space="0" w:color="auto"/>
                                <w:right w:val="none" w:sz="0" w:space="0" w:color="auto"/>
                              </w:divBdr>
                              <w:divsChild>
                                <w:div w:id="185926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37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p.gov"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788C762F93994B8C70930CCBB152E0" ma:contentTypeVersion="17" ma:contentTypeDescription="Create a new document." ma:contentTypeScope="" ma:versionID="bc550cf2a623e7aa95893dde8e22570d">
  <xsd:schema xmlns:xsd="http://www.w3.org/2001/XMLSchema" xmlns:xs="http://www.w3.org/2001/XMLSchema" xmlns:p="http://schemas.microsoft.com/office/2006/metadata/properties" xmlns:ns2="fc0c8049-9958-4812-bf4f-13e0a68e84a4" xmlns:ns3="5d95a739-f211-4767-aec8-4768b25c7b4c" targetNamespace="http://schemas.microsoft.com/office/2006/metadata/properties" ma:root="true" ma:fieldsID="432ab3509e4e619392cc37e70badef85" ns2:_="" ns3:_="">
    <xsd:import namespace="fc0c8049-9958-4812-bf4f-13e0a68e84a4"/>
    <xsd:import namespace="5d95a739-f211-4767-aec8-4768b25c7b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c8049-9958-4812-bf4f-13e0a68e84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bfc44b-b839-4883-bf53-be83583944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5a739-f211-4767-aec8-4768b25c7b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74dfab-c745-4f3e-a513-6427bdafc719}" ma:internalName="TaxCatchAll" ma:showField="CatchAllData" ma:web="5d95a739-f211-4767-aec8-4768b25c7b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0c8049-9958-4812-bf4f-13e0a68e84a4">
      <Terms xmlns="http://schemas.microsoft.com/office/infopath/2007/PartnerControls"/>
    </lcf76f155ced4ddcb4097134ff3c332f>
    <TaxCatchAll xmlns="5d95a739-f211-4767-aec8-4768b25c7b4c" xsi:nil="true"/>
  </documentManagement>
</p:properties>
</file>

<file path=customXml/itemProps1.xml><?xml version="1.0" encoding="utf-8"?>
<ds:datastoreItem xmlns:ds="http://schemas.openxmlformats.org/officeDocument/2006/customXml" ds:itemID="{3B14E827-1AD8-4D41-954F-71D5E43E4414}"/>
</file>

<file path=customXml/itemProps2.xml><?xml version="1.0" encoding="utf-8"?>
<ds:datastoreItem xmlns:ds="http://schemas.openxmlformats.org/officeDocument/2006/customXml" ds:itemID="{645F2E09-F6A1-460D-962D-9D38C88B64C7}"/>
</file>

<file path=customXml/itemProps3.xml><?xml version="1.0" encoding="utf-8"?>
<ds:datastoreItem xmlns:ds="http://schemas.openxmlformats.org/officeDocument/2006/customXml" ds:itemID="{334986E9-1B2B-4FEA-9F51-A1DC799E8C6B}"/>
</file>

<file path=docProps/app.xml><?xml version="1.0" encoding="utf-8"?>
<Properties xmlns="http://schemas.openxmlformats.org/officeDocument/2006/extended-properties" xmlns:vt="http://schemas.openxmlformats.org/officeDocument/2006/docPropsVTypes">
  <Template>Normal</Template>
  <TotalTime>53</TotalTime>
  <Pages>2</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2</cp:revision>
  <dcterms:created xsi:type="dcterms:W3CDTF">2019-10-24T15:52:00Z</dcterms:created>
  <dcterms:modified xsi:type="dcterms:W3CDTF">2019-10-28T14:29:00Z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0x01010034788C762F93994B8C70930CCBB152E0</vt:lpwstr>
  </property>
  <property fmtid="{D5CDD505-2E9C-101B-9397-08002B2CF9AE}" pid="3" name="Order">
    <vt:r8>2601400</vt:r8>
  </property>
  <property fmtid="{D5CDD505-2E9C-101B-9397-08002B2CF9AE}" pid="4" name="MediaServiceImageTags">
    <vt:lpwstr/>
  </property>
</Properties>
</file>